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67" w:rsidRPr="00D4543D" w:rsidRDefault="003D5F67" w:rsidP="003D5F67">
      <w:pPr>
        <w:widowControl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D5F67">
        <w:rPr>
          <w:rFonts w:ascii="Times New Roman" w:hAnsi="Times New Roman" w:cs="Times New Roman"/>
          <w:b/>
          <w:sz w:val="28"/>
          <w:szCs w:val="28"/>
        </w:rPr>
        <w:t xml:space="preserve">Аннотация к учебному плану по специальности </w:t>
      </w:r>
      <w:r w:rsidRPr="003D5F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</w:t>
      </w:r>
      <w:r w:rsidRPr="00D454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02.11 Техническая эксплуатация и обслуживание электрического и электромеханического оборудования (по отраслям)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Организация учебного процесса и режим занятий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план рассчитан на 3 года 10 месяцев обучения на базе основного общего образования. Форма обучения - очная. Учебный год начинается 1 сентября и заканчивается согласно календарному учебному графику. Учебный год состоит из двух семестров, каждый из которых заканчивается предусмотренной учебным планом формой контроля </w:t>
      </w:r>
      <w:proofErr w:type="spellStart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знаний.Продолжительность</w:t>
      </w:r>
      <w:proofErr w:type="spellEnd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занятий (45 мин.), предусмотрена группировка учебных занятий парами. Образовательный процесс в техникуме ведется на государственном языке Российской Федерации – русском. В процессе освоения образовательных программ среднего профессионального образования обучающимся предоставляются каникулы.  Численность студентов учебной группы при финансировании подготовки за счет бюджетных ассигнований по очной форме получения образования - 25 человек. Исходя из специфики содержания и особенностей организации часть практических учебных занятий планируется и проводится с делением на подгруппы. Техникум вправе объединять группы обучающихся при проведении учебных занятий в форме лекций.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Время, отводимое на самостоятельную работу обучающегося, не относится к времени, отводимому на работу во взаимодействии , но входит в объем часов учебного плана</w:t>
      </w:r>
      <w:r w:rsidRPr="003D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Самостоятельная работа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студентов (СРС) – самостоятельная учебная деятельность студента, организуемая техникумом и осуществляемая без непосредственного руководства преподавателя, но по его заданиям и под его контролем. СРС по дисциплине(МДК) обладает рядом свойств: выполняется самостоятельно вне расписания учебных занятий; выполняется по индивидуальным заданиям; предполагает использование современных образовательных технологий; проводится параллельно и во взаимодействии с аудиторной работой по дисциплине; обеспечивает формирование компонентов дисциплинарных компетенций «знать», «уметь» и «владеть». Цель организации СРС по дисциплине(МДК) состоит в создании условий для выполнения определенных видов СРС, обеспечивающих формирование компонент заданных дисциплинарных компетенций.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видами СРС по дисциплине являются: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самостоятельное изучение теоретического материала;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самостоятельное выполнение расчетных работ по тематике практических(лабораторных) занятий;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самостоятельное выполнение индивидуального комплексного задания по тематике дисциплины (модуля);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формы СРС по дисциплине определяются формами представления результатов выполнения СРС и включают: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рефераты, эссе;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--доклады, сообщения;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расчетные работы;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отчет по ЛР;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--опорные конспекты.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механизмом организации СРС по дисциплине является процесс учебной деятельности, содержащий последовательность распределенных во времени и пространстве действий. Действия включают: собственно организационно-учебные (необходимые для выполнения видов СРС); контролирующие действия, обеспечивающие выполнение контроля; действия по управлению (проведение консультаций, аттестаций и т.д.).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процессом проектирования организации СРС по дисциплине обеспечивает достижение единства и взаимодействия видов аудиторной и самостоятельной работы студентов на основе принципов дополнения, расширения, углубления изучаемого материала. Инструментами управления при этом являются: формирование рациональной 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структуры видов СРС по дисциплине; достижение рациональной взаимосвязи видов СРС; разработка рекомендаций по формированию форм представления результатов СРС с учётом </w:t>
      </w:r>
      <w:proofErr w:type="spellStart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компетентностного</w:t>
      </w:r>
      <w:proofErr w:type="spellEnd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формата. Управление процессами организации СРС по дисциплине должно обеспечивать: разработку и выдачу студентам индивидуальных заданий по выполняемым видам СРС и методических указаний по их выполнению; проведение консультаций; организацию сбора результатов СРС, выполненных в заданной форме; организацию защиты результатов СРС; проведение процедур оценивания.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деятельность обучающихся предусматривает: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учебные занятия (урок, практическое занятие, лабораторное занятие  консультация, лекция, семинар) во взаимодействии с преподавателем,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самостоятельную внеаудиторную работу,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выполнение выпускной квалификационной работы; </w:t>
      </w:r>
    </w:p>
    <w:p w:rsidR="003D5F67" w:rsidRPr="003D5F67" w:rsidRDefault="003D5F67" w:rsidP="003D5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практику. </w:t>
      </w:r>
    </w:p>
    <w:p w:rsidR="003D5F67" w:rsidRPr="003D5F67" w:rsidRDefault="003D5F67" w:rsidP="003D5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Проводятся следующие виды практик: учебная практика, производственная практика (по профилю специальности), производственная практика (преддипломная). Учебная практика проводится в лабораториях, мастерских техникума. Календарный учебный график предусматривает чередование теоретического обучения, учебной и производственной практики. Производственная практика проводится концентрированно в профильных организациях территории.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имеет следующую структуру: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общеобразовательный цикл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гуманитарный и социально-экономический цикл;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математический и общий естественнонаучный цикл;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общепрофессиональный цикл;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профессиональный цикл;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итоговая аттестация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Общеобразовательный цикл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объем общеобразовательной подготовки составляет 1476 часов, включая консультации и промежуточную аттестацию. Данный объем образовательной программы направлен на обеспечение получения среднего общего образования в соответствии с требованиями федерального государственного образовательного стандарта среднего общего образования с учетом профиля получаемой специальности. Профиль –технологический. Учебный план содержит 12 учебных дисциплин.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учебный план </w:t>
      </w:r>
      <w:proofErr w:type="spellStart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технрологического</w:t>
      </w:r>
      <w:proofErr w:type="spellEnd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профиля включены учебные дисциплины из следующих обязательных предметных областей: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«Русский язык и литература»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«Русский язык», «Литература»;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«Родной язык и родная литература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«Родной язык»;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«Математика и информатика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«Математика», «Информатика»;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предметная область «Иностранные языки»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«Иностранный язык»;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«Естественные науки»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-«Физика» «Химия», «Астрономия»;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«Общественные науки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«История».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предметная область «Физическая культура, экология и основы безопасности жизнедеятельности»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«Физическая культура», «Основы безопасности жизнедеятельности».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предусматривает изучение не менее одного учебного предмета из каждой предметной области и содержит 3 учебных дисциплины (математика,  информатика, физика  ) на углубленном уровне изучения. Общеобразовательный цикл учебного плана не предусматривает наличия самостоятельной работы в структуре учебной нагрузки.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 предусмотрено выполнение обучающимися индивидуального проекта</w:t>
      </w: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Индивидуальный проект выполняется обучающимся самостоятельно под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руководством преподавателя по выбранной теме в рамках одного или нескольких изучаемых учебных дисциплин,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учебных дисциплин, необходимых для получения обучающимися среднего общего образования происходит в течение 1-2 курса освоения соответствующей образовательной программы.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структуры ООП с учетом вариативной части.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объем образовательной нагрузки обучающихся по программе составляет 5 940 часа и включает изучение (включая общеобразовательный цикл) учебных  циклов: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-общий гуманитарный и социально-экономический;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-математический и общий естественно-научный;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-общепрофессиональный;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-профессиональный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-государственная итоговая аттестация. Соотношение обязательной и вариативной частей составляет 70 % и 30 % соответственно. Предусмотрено изучение обязательных дисциплин  : «Основы философии», «История», «Психология общения», «Иностранный язык в профессиональной деятельности»,  «Физическая культура» и «Безопасность жизнедеятельности»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Общий объем образовательной нагрузки обучающихся по программе составляет 5 940 часов. Распределены часы следующим образом: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09"/>
        <w:gridCol w:w="2260"/>
        <w:gridCol w:w="2248"/>
        <w:gridCol w:w="1528"/>
      </w:tblGrid>
      <w:tr w:rsidR="003D5F67" w:rsidRPr="003D5F67" w:rsidTr="00524E12">
        <w:tc>
          <w:tcPr>
            <w:tcW w:w="3309" w:type="dxa"/>
            <w:vMerge w:val="restart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Структура ОП</w:t>
            </w:r>
          </w:p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Общий  объем </w:t>
            </w:r>
          </w:p>
        </w:tc>
        <w:tc>
          <w:tcPr>
            <w:tcW w:w="1528" w:type="dxa"/>
            <w:vMerge w:val="restart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всего</w:t>
            </w:r>
          </w:p>
        </w:tc>
      </w:tr>
      <w:tr w:rsidR="003D5F67" w:rsidRPr="003D5F67" w:rsidTr="00524E12">
        <w:trPr>
          <w:trHeight w:val="601"/>
        </w:trPr>
        <w:tc>
          <w:tcPr>
            <w:tcW w:w="3309" w:type="dxa"/>
            <w:vMerge/>
          </w:tcPr>
          <w:p w:rsidR="003D5F67" w:rsidRPr="003D5F67" w:rsidRDefault="003D5F67" w:rsidP="003D5F67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Обязательный 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Вариативный </w:t>
            </w:r>
          </w:p>
        </w:tc>
        <w:tc>
          <w:tcPr>
            <w:tcW w:w="1528" w:type="dxa"/>
            <w:vMerge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3D5F67" w:rsidRPr="003D5F67" w:rsidTr="00524E12">
        <w:trPr>
          <w:trHeight w:val="577"/>
        </w:trPr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Общеобразовательный </w:t>
            </w: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1476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1476</w:t>
            </w:r>
          </w:p>
        </w:tc>
      </w:tr>
      <w:tr w:rsidR="003D5F67" w:rsidRPr="003D5F67" w:rsidTr="00524E12">
        <w:trPr>
          <w:trHeight w:val="690"/>
        </w:trPr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Общий гуманитарный и социально-экономический </w:t>
            </w: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468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172</w:t>
            </w:r>
          </w:p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640</w:t>
            </w:r>
          </w:p>
        </w:tc>
      </w:tr>
      <w:tr w:rsidR="003D5F67" w:rsidRPr="003D5F67" w:rsidTr="00524E12"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Математический и </w:t>
            </w:r>
          </w:p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общий естественнонаучный</w:t>
            </w: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218</w:t>
            </w:r>
          </w:p>
        </w:tc>
      </w:tr>
      <w:tr w:rsidR="003D5F67" w:rsidRPr="003D5F67" w:rsidTr="00524E12">
        <w:trPr>
          <w:trHeight w:val="541"/>
        </w:trPr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Общепрофессиональный </w:t>
            </w: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612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577</w:t>
            </w: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1189</w:t>
            </w:r>
          </w:p>
        </w:tc>
      </w:tr>
      <w:tr w:rsidR="003D5F67" w:rsidRPr="003D5F67" w:rsidTr="00524E12">
        <w:trPr>
          <w:trHeight w:val="1143"/>
        </w:trPr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Профессиональный + преддипломная практика</w:t>
            </w:r>
          </w:p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+ГИА</w:t>
            </w: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1458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959</w:t>
            </w: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2417</w:t>
            </w:r>
          </w:p>
        </w:tc>
      </w:tr>
      <w:tr w:rsidR="003D5F67" w:rsidRPr="003D5F67" w:rsidTr="00524E12"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4158 (70 %)</w:t>
            </w:r>
          </w:p>
        </w:tc>
        <w:tc>
          <w:tcPr>
            <w:tcW w:w="224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1782(30%)</w:t>
            </w: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5940</w:t>
            </w:r>
          </w:p>
        </w:tc>
      </w:tr>
      <w:tr w:rsidR="003D5F67" w:rsidRPr="003D5F67" w:rsidTr="00524E12">
        <w:trPr>
          <w:trHeight w:val="639"/>
        </w:trPr>
        <w:tc>
          <w:tcPr>
            <w:tcW w:w="3309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 xml:space="preserve">Всего </w:t>
            </w:r>
          </w:p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5940</w:t>
            </w:r>
          </w:p>
        </w:tc>
        <w:tc>
          <w:tcPr>
            <w:tcW w:w="1528" w:type="dxa"/>
          </w:tcPr>
          <w:p w:rsidR="003D5F67" w:rsidRPr="003D5F67" w:rsidRDefault="003D5F67" w:rsidP="003D5F6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3D5F67">
              <w:rPr>
                <w:bCs/>
                <w:sz w:val="24"/>
                <w:szCs w:val="24"/>
              </w:rPr>
              <w:t>5940</w:t>
            </w:r>
          </w:p>
        </w:tc>
      </w:tr>
    </w:tbl>
    <w:p w:rsidR="00C03653" w:rsidRDefault="00C03653"/>
    <w:p w:rsidR="003D5F67" w:rsidRDefault="003D5F67"/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Вариативная часть определяется техникумом самостоятельно на основе запросов регионального рынка труда, специфики деятельности организации и образовательных потребностей и интересов студентов.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Основной объем часов вариативной части направлен на увеличение объема предусмотренных примерной программой дисциплин и модулей для формирования компетенций, предусмотренных ФГОС.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Дополнительно к содержащимся в ПООП по ФГОС за счет часов вариативной части введены учебные дисциплины: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>ОП 11 Программирование промышленных контроллеров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ОП12 Информационные технологии в профессиональной деятельности 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  <w:r w:rsidRPr="003D5F67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>ОП 13 Основы теории коммуникации и социальной адаптации (при необходимости введется адаптационная дисциплина основы трудоустройства)</w:t>
      </w:r>
    </w:p>
    <w:p w:rsidR="003D5F67" w:rsidRPr="003D5F67" w:rsidRDefault="003D5F67" w:rsidP="003D5F67">
      <w:pPr>
        <w:spacing w:after="0" w:line="276" w:lineRule="auto"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3D5F67" w:rsidRPr="003D5F67" w:rsidRDefault="003D5F67" w:rsidP="003D5F67">
      <w:pPr>
        <w:spacing w:after="0" w:line="276" w:lineRule="auto"/>
        <w:jc w:val="both"/>
        <w:rPr>
          <w:rFonts w:eastAsiaTheme="minorEastAsia" w:cs="Times New Roman"/>
          <w:b/>
          <w:sz w:val="28"/>
          <w:szCs w:val="28"/>
          <w:lang w:eastAsia="ru-RU"/>
        </w:rPr>
      </w:pP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консультаций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обучения со студентами проводятся консультации –групповые и индивидуальные. Проводятся консультации за счет часов определенных на дисциплину (модуль) как часы во взаимодействии с преподавателем.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промежуточной аттестации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п. 3. ст. 28 ФЗ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 Положением о формах, периодичности и порядке текущего контроля успеваемости и промежуточной аттестации обучающихся ГАПОУ СО «Камышловский техникум промышленности и транспорта» установлены такие формы промежуточной аттестации как  экзамен, зачет (дифференцированный зачет),экзамен (квалификационный).В структуре промежуточной аттестации по семестрам 2-8 предусмотрено не менее одного экзамена, при этом количество экзаменов в процессе промежуточной аттестации обучающихся не  превышает 8 экзаменов в учебном году. При планировании промежуточной аттестации в форме экзамена, техникумом определен день, освобожденный от других форм учебной нагрузки.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Промежуточная аттестация, проводимая в техникуме в виде экзамена, выделяется за счет времени, определенного как во взаимодействии с преподавателем.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Промежуточная аттестация в форме зачета проводится за счет часов, отведенных на освоение соответствующей учебной дисциплины, междисциплинарного курса, практики . Количество зачетов - не более 10. В указанное количество не входят экзамены и зачеты по физической культуре. Определено ,что за каждый реализуемый семестр процедура промежуточной аттестации не предусматривается для всех без исключения дисциплин и междисциплинарных курсов, практик, профессиональных модулей, установленных в учебном плане образовательной программы.</w:t>
      </w:r>
    </w:p>
    <w:p w:rsidR="003D5F67" w:rsidRPr="003D5F67" w:rsidRDefault="003D5F67" w:rsidP="003D5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Зачеты с оценкой предусмотрены по следующим дисциплинам и МДК: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Иностранный язык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Астрономия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</w:t>
      </w:r>
      <w:proofErr w:type="spellEnd"/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язык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Химия 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Основы философии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 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общения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(ЕН)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Информатика(ЕН)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Инженерная графика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Метрология, стандартизация, сертификация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Материаловедение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Правовые основы профессиональной деятельности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Охрана труда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Электробезопасность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электроники и </w:t>
      </w:r>
      <w:proofErr w:type="spellStart"/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схемотехники</w:t>
      </w:r>
      <w:proofErr w:type="spellEnd"/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жизнедеятельности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Программирование промышленных контроллеров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технологии в профессиональной деятельности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теории коммуникации и профессиональной адаптации (основы трудоустройства) .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МДК 01.04, 01.05, 02.01. 03.01, 04,01.</w:t>
      </w:r>
    </w:p>
    <w:p w:rsidR="003D5F67" w:rsidRPr="003D5F67" w:rsidRDefault="003D5F67" w:rsidP="003D5F67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и производственные практики.</w:t>
      </w:r>
    </w:p>
    <w:p w:rsidR="003D5F67" w:rsidRPr="003D5F67" w:rsidRDefault="003D5F67" w:rsidP="003D5F67">
      <w:pPr>
        <w:spacing w:after="0" w:line="276" w:lineRule="auto"/>
        <w:jc w:val="both"/>
        <w:rPr>
          <w:rFonts w:eastAsiaTheme="minorEastAsia" w:cs="Times New Roman"/>
          <w:b/>
          <w:sz w:val="28"/>
          <w:szCs w:val="28"/>
          <w:lang w:eastAsia="ru-RU"/>
        </w:rPr>
      </w:pPr>
    </w:p>
    <w:p w:rsidR="003D5F67" w:rsidRPr="003D5F67" w:rsidRDefault="003D5F67" w:rsidP="003D5F67">
      <w:pPr>
        <w:spacing w:after="0" w:line="276" w:lineRule="auto"/>
        <w:jc w:val="both"/>
        <w:rPr>
          <w:rFonts w:eastAsiaTheme="minorEastAsia" w:cs="Times New Roman"/>
          <w:b/>
          <w:sz w:val="28"/>
          <w:szCs w:val="28"/>
          <w:lang w:eastAsia="ru-RU"/>
        </w:rPr>
      </w:pPr>
    </w:p>
    <w:p w:rsidR="003D5F67" w:rsidRDefault="003D5F67"/>
    <w:sectPr w:rsidR="003D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0A6D"/>
    <w:multiLevelType w:val="hybridMultilevel"/>
    <w:tmpl w:val="3028F89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B2"/>
    <w:rsid w:val="003D5F67"/>
    <w:rsid w:val="00C03653"/>
    <w:rsid w:val="00C662B2"/>
    <w:rsid w:val="00C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FA04D-3A3D-43FB-9FDF-94F3F5E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D5F67"/>
    <w:pPr>
      <w:widowControl w:val="0"/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Мицура</dc:creator>
  <cp:keywords/>
  <dc:description/>
  <cp:lastModifiedBy>Ольга A. Потапова</cp:lastModifiedBy>
  <cp:revision>2</cp:revision>
  <dcterms:created xsi:type="dcterms:W3CDTF">2021-10-22T04:58:00Z</dcterms:created>
  <dcterms:modified xsi:type="dcterms:W3CDTF">2021-10-22T04:58:00Z</dcterms:modified>
</cp:coreProperties>
</file>