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1D4" w:rsidRDefault="000661D4" w:rsidP="000661D4">
      <w:pPr>
        <w:widowControl w:val="0"/>
        <w:jc w:val="center"/>
        <w:rPr>
          <w:b/>
          <w:sz w:val="28"/>
          <w:szCs w:val="28"/>
        </w:rPr>
      </w:pPr>
      <w:bookmarkStart w:id="0" w:name="_GoBack"/>
      <w:bookmarkEnd w:id="0"/>
      <w:r w:rsidRPr="000661D4">
        <w:rPr>
          <w:b/>
          <w:sz w:val="28"/>
          <w:szCs w:val="28"/>
        </w:rPr>
        <w:t xml:space="preserve">Аннотация к учебному плану по специальности </w:t>
      </w:r>
      <w:r w:rsidRPr="000661D4">
        <w:rPr>
          <w:sz w:val="28"/>
          <w:szCs w:val="28"/>
        </w:rPr>
        <w:t>«</w:t>
      </w:r>
      <w:r w:rsidRPr="000661D4">
        <w:rPr>
          <w:b/>
          <w:sz w:val="28"/>
          <w:szCs w:val="28"/>
        </w:rPr>
        <w:t>23.02.06 ТЕХНИЧЕСКАЯ ЭКСПЛУАТАЦИЯ ПОДВИЖНОГО СОСТАВА ЖЕЛЕЗНЫХ ДОРОГ»</w:t>
      </w:r>
    </w:p>
    <w:p w:rsidR="000661D4" w:rsidRDefault="000661D4" w:rsidP="000661D4">
      <w:pPr>
        <w:widowControl w:val="0"/>
        <w:jc w:val="center"/>
        <w:rPr>
          <w:b/>
          <w:sz w:val="28"/>
          <w:szCs w:val="28"/>
        </w:rPr>
      </w:pPr>
    </w:p>
    <w:p w:rsidR="000661D4" w:rsidRPr="000661D4" w:rsidRDefault="000661D4" w:rsidP="000661D4">
      <w:pPr>
        <w:widowControl w:val="0"/>
        <w:jc w:val="center"/>
        <w:rPr>
          <w:b/>
          <w:sz w:val="28"/>
          <w:szCs w:val="28"/>
        </w:rPr>
      </w:pPr>
    </w:p>
    <w:p w:rsidR="000661D4" w:rsidRPr="000661D4" w:rsidRDefault="000661D4" w:rsidP="000661D4">
      <w:pPr>
        <w:widowControl w:val="0"/>
        <w:jc w:val="center"/>
        <w:rPr>
          <w:b/>
          <w:sz w:val="28"/>
          <w:szCs w:val="28"/>
        </w:rPr>
      </w:pPr>
    </w:p>
    <w:p w:rsidR="000661D4" w:rsidRPr="00FD003E" w:rsidRDefault="000661D4" w:rsidP="000661D4">
      <w:pPr>
        <w:jc w:val="both"/>
        <w:rPr>
          <w:bCs/>
        </w:rPr>
      </w:pPr>
      <w:r w:rsidRPr="00FD003E">
        <w:rPr>
          <w:bCs/>
        </w:rPr>
        <w:t>Учебный план рассчитан на 3 года 10 месяцев обучения на базе основного общего образования. Форма обучения - очная. Учебный год начинается 1 сентября и заканчивается согласно календарному учебному графику. Учебный год состоит из двух семестров, каждый из которых заканчивается предусмотренной учебным планом формой контроля знаний.</w:t>
      </w:r>
      <w:r>
        <w:rPr>
          <w:bCs/>
        </w:rPr>
        <w:t xml:space="preserve"> </w:t>
      </w:r>
      <w:r w:rsidRPr="00FD003E">
        <w:rPr>
          <w:bCs/>
        </w:rPr>
        <w:t>Продолжительность занятий (45 мин.), предусмотрена группировка учебных занятий парами. Образовательный процесс в техникуме ведется на государственном языке Российской Федерации – русском. В процессе освоения образовательных программ среднего профессионального образования обучающимся предоставляются каникулы.  Численность студентов учебной группы при финансировании подготовки за счет бюджетных ассигнований по очной форме получения образования - 25 человек. Исходя из специфики содержания и особенностей организации часть практических учебных занятий планируется и проводится с делением на подгруппы. Техникум вправе объединять группы обучающихся при проведении учебных занятий в форме лекций.</w:t>
      </w:r>
    </w:p>
    <w:p w:rsidR="000661D4" w:rsidRPr="00FD003E" w:rsidRDefault="000661D4" w:rsidP="000661D4">
      <w:pPr>
        <w:jc w:val="both"/>
        <w:rPr>
          <w:bCs/>
        </w:rPr>
      </w:pPr>
      <w:r w:rsidRPr="00FD003E">
        <w:rPr>
          <w:bCs/>
        </w:rPr>
        <w:t>Время, отводимое на самостоятельную работу обучающегося, не относится к времени, отводим</w:t>
      </w:r>
      <w:r>
        <w:rPr>
          <w:bCs/>
        </w:rPr>
        <w:t>ому на работу во взаимодействии</w:t>
      </w:r>
      <w:r w:rsidRPr="00FD003E">
        <w:rPr>
          <w:bCs/>
        </w:rPr>
        <w:t>, но входит в объем часов учебного плана</w:t>
      </w:r>
      <w:r w:rsidRPr="00FD003E">
        <w:t xml:space="preserve"> </w:t>
      </w:r>
      <w:r w:rsidRPr="00FD003E">
        <w:rPr>
          <w:bCs/>
          <w:i/>
          <w:u w:val="single"/>
        </w:rPr>
        <w:t>Самостоятельная работа</w:t>
      </w:r>
      <w:r w:rsidRPr="00FD003E">
        <w:rPr>
          <w:bCs/>
        </w:rPr>
        <w:t xml:space="preserve"> студентов (СРС) – самостоятельная учебная деятельность студента, организуемая техникумом и осуществляемая без непосредственного руководства преподавателя, но по его заданиям и под его контролем. СРС по дисциплине(МДК) обладает рядом свойств: выполняется самостоятельно вне расписания учебных занятий; выполняется по индивидуальным заданиям; предполагает использование современных образовательных технологий; проводится параллельно и во взаимодействии с аудиторной работой по дисциплине; обеспечивает формирование компонентов дисциплинарных компетенций «знать», «уметь» и «владеть». Цель организации СРС по дисциплине(МДК) состоит в создании условий для выполнения определенных видов СРС, обеспечивающих формирование компонент заданных дисциплинарных компетенций.</w:t>
      </w:r>
    </w:p>
    <w:p w:rsidR="000661D4" w:rsidRPr="00FD003E" w:rsidRDefault="000661D4" w:rsidP="000661D4">
      <w:pPr>
        <w:jc w:val="both"/>
        <w:rPr>
          <w:bCs/>
        </w:rPr>
      </w:pPr>
      <w:r w:rsidRPr="00FD003E">
        <w:rPr>
          <w:bCs/>
        </w:rPr>
        <w:t xml:space="preserve">Основными видами СРС по дисциплине являются: </w:t>
      </w:r>
    </w:p>
    <w:p w:rsidR="000661D4" w:rsidRPr="00FD003E" w:rsidRDefault="000661D4" w:rsidP="000661D4">
      <w:pPr>
        <w:jc w:val="both"/>
        <w:rPr>
          <w:bCs/>
        </w:rPr>
      </w:pPr>
      <w:r w:rsidRPr="00FD003E">
        <w:rPr>
          <w:bCs/>
        </w:rPr>
        <w:t xml:space="preserve">– самостоятельное изучение теоретического материала; </w:t>
      </w:r>
    </w:p>
    <w:p w:rsidR="000661D4" w:rsidRPr="00FD003E" w:rsidRDefault="000661D4" w:rsidP="000661D4">
      <w:pPr>
        <w:jc w:val="both"/>
        <w:rPr>
          <w:bCs/>
        </w:rPr>
      </w:pPr>
      <w:r w:rsidRPr="00FD003E">
        <w:rPr>
          <w:bCs/>
        </w:rPr>
        <w:t>– самостоятельное выполнение расчетных работ по тематике практических(лабораторных) занятий;</w:t>
      </w:r>
    </w:p>
    <w:p w:rsidR="000661D4" w:rsidRPr="00FD003E" w:rsidRDefault="000661D4" w:rsidP="000661D4">
      <w:pPr>
        <w:jc w:val="both"/>
        <w:rPr>
          <w:bCs/>
        </w:rPr>
      </w:pPr>
      <w:r w:rsidRPr="00FD003E">
        <w:rPr>
          <w:bCs/>
        </w:rPr>
        <w:t>– самостоятельное выполнение индивидуального комплексного задания по тематике дисциплины (модуля);</w:t>
      </w:r>
    </w:p>
    <w:p w:rsidR="000661D4" w:rsidRPr="00FD003E" w:rsidRDefault="000661D4" w:rsidP="000661D4">
      <w:pPr>
        <w:jc w:val="both"/>
        <w:rPr>
          <w:bCs/>
        </w:rPr>
      </w:pPr>
      <w:r w:rsidRPr="00FD003E">
        <w:rPr>
          <w:bCs/>
        </w:rPr>
        <w:t xml:space="preserve">Основные формы СРС по дисциплине определяются формами представления результатов выполнения СРС и включают: </w:t>
      </w:r>
    </w:p>
    <w:p w:rsidR="000661D4" w:rsidRPr="00FD003E" w:rsidRDefault="000661D4" w:rsidP="000661D4">
      <w:pPr>
        <w:jc w:val="both"/>
        <w:rPr>
          <w:bCs/>
        </w:rPr>
      </w:pPr>
      <w:r w:rsidRPr="00FD003E">
        <w:rPr>
          <w:bCs/>
        </w:rPr>
        <w:t>– рефераты, эссе;</w:t>
      </w:r>
    </w:p>
    <w:p w:rsidR="000661D4" w:rsidRPr="00FD003E" w:rsidRDefault="000661D4" w:rsidP="000661D4">
      <w:pPr>
        <w:jc w:val="both"/>
        <w:rPr>
          <w:bCs/>
        </w:rPr>
      </w:pPr>
      <w:r w:rsidRPr="00FD003E">
        <w:rPr>
          <w:bCs/>
        </w:rPr>
        <w:t>--доклады, сообщения;</w:t>
      </w:r>
    </w:p>
    <w:p w:rsidR="000661D4" w:rsidRPr="00FD003E" w:rsidRDefault="000661D4" w:rsidP="000661D4">
      <w:pPr>
        <w:jc w:val="both"/>
        <w:rPr>
          <w:bCs/>
        </w:rPr>
      </w:pPr>
      <w:r w:rsidRPr="00FD003E">
        <w:rPr>
          <w:bCs/>
        </w:rPr>
        <w:t xml:space="preserve"> – расчетные работы;</w:t>
      </w:r>
    </w:p>
    <w:p w:rsidR="000661D4" w:rsidRPr="00FD003E" w:rsidRDefault="000661D4" w:rsidP="000661D4">
      <w:pPr>
        <w:jc w:val="both"/>
        <w:rPr>
          <w:bCs/>
        </w:rPr>
      </w:pPr>
      <w:r w:rsidRPr="00FD003E">
        <w:rPr>
          <w:bCs/>
        </w:rPr>
        <w:t>– отчет по ЛР;</w:t>
      </w:r>
    </w:p>
    <w:p w:rsidR="000661D4" w:rsidRPr="00FD003E" w:rsidRDefault="000661D4" w:rsidP="000661D4">
      <w:pPr>
        <w:jc w:val="both"/>
        <w:rPr>
          <w:bCs/>
        </w:rPr>
      </w:pPr>
      <w:r w:rsidRPr="00FD003E">
        <w:rPr>
          <w:bCs/>
        </w:rPr>
        <w:t xml:space="preserve">  --опорные конспекты.</w:t>
      </w:r>
    </w:p>
    <w:p w:rsidR="000661D4" w:rsidRPr="00FD003E" w:rsidRDefault="000661D4" w:rsidP="000661D4">
      <w:pPr>
        <w:jc w:val="both"/>
        <w:rPr>
          <w:bCs/>
        </w:rPr>
      </w:pPr>
      <w:r w:rsidRPr="00FD003E">
        <w:rPr>
          <w:bCs/>
        </w:rPr>
        <w:t>Основным механизмом организации СРС по дисциплине является процесс учебной деятельности, содержащий последовательность распределенных во времени и пространст</w:t>
      </w:r>
      <w:r>
        <w:rPr>
          <w:bCs/>
        </w:rPr>
        <w:t xml:space="preserve">ве действий. Действия включают: </w:t>
      </w:r>
      <w:proofErr w:type="gramStart"/>
      <w:r w:rsidRPr="00FD003E">
        <w:rPr>
          <w:bCs/>
        </w:rPr>
        <w:t>собственно</w:t>
      </w:r>
      <w:proofErr w:type="gramEnd"/>
      <w:r w:rsidRPr="00FD003E">
        <w:rPr>
          <w:bCs/>
        </w:rPr>
        <w:t xml:space="preserve"> организационно-учебные (необходимые для выполнения видов СРС); контролирующие действия, обеспечивающие выполнение контроля; действия по управлению (проведение консультаций, аттестаций и т.д.).</w:t>
      </w:r>
    </w:p>
    <w:p w:rsidR="000661D4" w:rsidRPr="00FD003E" w:rsidRDefault="000661D4" w:rsidP="000661D4">
      <w:pPr>
        <w:jc w:val="both"/>
        <w:rPr>
          <w:bCs/>
        </w:rPr>
      </w:pPr>
      <w:r w:rsidRPr="00FD003E">
        <w:rPr>
          <w:bCs/>
        </w:rPr>
        <w:t xml:space="preserve">Управление процессом проектирования организации СРС по дисциплине обеспечивает достижение единства и взаимодействия видов аудиторной и самостоятельной работы </w:t>
      </w:r>
      <w:r w:rsidRPr="00FD003E">
        <w:rPr>
          <w:bCs/>
        </w:rPr>
        <w:lastRenderedPageBreak/>
        <w:t xml:space="preserve">студентов на основе принципов дополнения, расширения, углубления изучаемого материала. Инструментами управления при этом являются: формирование рациональной структуры видов СРС по дисциплине; достижение рациональной взаимосвязи видов СРС; разработка рекомендаций по формированию форм представления результатов СРС с учётом </w:t>
      </w:r>
      <w:proofErr w:type="spellStart"/>
      <w:r w:rsidRPr="00FD003E">
        <w:rPr>
          <w:bCs/>
        </w:rPr>
        <w:t>компетентностного</w:t>
      </w:r>
      <w:proofErr w:type="spellEnd"/>
      <w:r w:rsidRPr="00FD003E">
        <w:rPr>
          <w:bCs/>
        </w:rPr>
        <w:t xml:space="preserve"> формата. Управление процессами организации СРС по дисциплине должно обеспечивать: разработку и выдачу студентам индивидуальных заданий по выполняемым видам СРС и методических указаний по их выполнению; проведение консультаций; организацию сбора результатов СРС, выполненных в заданной форме; организацию защиты результатов СРС; проведение процедур оценивания.</w:t>
      </w:r>
    </w:p>
    <w:p w:rsidR="000661D4" w:rsidRPr="00FD003E" w:rsidRDefault="000661D4" w:rsidP="000661D4">
      <w:pPr>
        <w:jc w:val="both"/>
        <w:rPr>
          <w:bCs/>
        </w:rPr>
      </w:pPr>
      <w:r w:rsidRPr="00FD003E">
        <w:rPr>
          <w:bCs/>
        </w:rPr>
        <w:t xml:space="preserve">Учебная деятельность обучающихся предусматривает: </w:t>
      </w:r>
    </w:p>
    <w:p w:rsidR="000661D4" w:rsidRPr="00FD003E" w:rsidRDefault="000661D4" w:rsidP="000661D4">
      <w:pPr>
        <w:jc w:val="both"/>
        <w:rPr>
          <w:bCs/>
          <w:i/>
        </w:rPr>
      </w:pPr>
      <w:r w:rsidRPr="00FD003E">
        <w:rPr>
          <w:bCs/>
          <w:i/>
        </w:rPr>
        <w:t>- учебные занятия (урок, практическое</w:t>
      </w:r>
      <w:r>
        <w:rPr>
          <w:bCs/>
          <w:i/>
        </w:rPr>
        <w:t xml:space="preserve"> занятие, лабораторное занятие. </w:t>
      </w:r>
      <w:r w:rsidRPr="00FD003E">
        <w:rPr>
          <w:bCs/>
          <w:i/>
        </w:rPr>
        <w:t xml:space="preserve">консультация, лекция, семинар) во взаимодействии с преподавателем, </w:t>
      </w:r>
    </w:p>
    <w:p w:rsidR="000661D4" w:rsidRPr="00FD003E" w:rsidRDefault="000661D4" w:rsidP="000661D4">
      <w:pPr>
        <w:jc w:val="both"/>
        <w:rPr>
          <w:bCs/>
          <w:i/>
        </w:rPr>
      </w:pPr>
      <w:r w:rsidRPr="00FD003E">
        <w:rPr>
          <w:bCs/>
          <w:i/>
        </w:rPr>
        <w:t xml:space="preserve"> - самостоятельную внеаудиторную работу, </w:t>
      </w:r>
    </w:p>
    <w:p w:rsidR="000661D4" w:rsidRPr="00FD003E" w:rsidRDefault="000661D4" w:rsidP="000661D4">
      <w:pPr>
        <w:jc w:val="both"/>
        <w:rPr>
          <w:bCs/>
          <w:i/>
        </w:rPr>
      </w:pPr>
      <w:r w:rsidRPr="00FD003E">
        <w:rPr>
          <w:bCs/>
          <w:i/>
        </w:rPr>
        <w:t xml:space="preserve"> - выполнение выпускной квалификационной работы; </w:t>
      </w:r>
    </w:p>
    <w:p w:rsidR="000661D4" w:rsidRPr="00FD003E" w:rsidRDefault="000661D4" w:rsidP="000661D4">
      <w:pPr>
        <w:contextualSpacing/>
        <w:jc w:val="both"/>
        <w:rPr>
          <w:bCs/>
          <w:i/>
        </w:rPr>
      </w:pPr>
      <w:r w:rsidRPr="00FD003E">
        <w:rPr>
          <w:bCs/>
          <w:i/>
        </w:rPr>
        <w:t xml:space="preserve">- практику. </w:t>
      </w:r>
    </w:p>
    <w:p w:rsidR="000661D4" w:rsidRPr="00FD003E" w:rsidRDefault="000661D4" w:rsidP="000661D4">
      <w:pPr>
        <w:contextualSpacing/>
        <w:jc w:val="both"/>
        <w:rPr>
          <w:bCs/>
        </w:rPr>
      </w:pPr>
      <w:r w:rsidRPr="00FD003E">
        <w:rPr>
          <w:bCs/>
        </w:rPr>
        <w:t>Проводятся следующие виды практик: учебная практика, производственная практика (по профилю специальности), производственная практика (преддипломная). Учебная практика проводится в лабораториях, мастерских техникума. Календарный учебный график предусматривает чередование теоретического обучения, учебной и производственной практики. Производственная практика проводится концентрированно в профильных организациях территории.</w:t>
      </w:r>
    </w:p>
    <w:p w:rsidR="000661D4" w:rsidRPr="00FD003E" w:rsidRDefault="000661D4" w:rsidP="000661D4">
      <w:pPr>
        <w:jc w:val="both"/>
        <w:rPr>
          <w:bCs/>
        </w:rPr>
      </w:pPr>
      <w:r w:rsidRPr="00FD003E">
        <w:rPr>
          <w:bCs/>
        </w:rPr>
        <w:t>Учебный план включает в себя следующие</w:t>
      </w:r>
      <w:r>
        <w:rPr>
          <w:bCs/>
        </w:rPr>
        <w:t xml:space="preserve"> учебные</w:t>
      </w:r>
      <w:r w:rsidRPr="00FD003E">
        <w:rPr>
          <w:bCs/>
        </w:rPr>
        <w:t xml:space="preserve"> циклы: </w:t>
      </w:r>
    </w:p>
    <w:p w:rsidR="000661D4" w:rsidRPr="00FD003E" w:rsidRDefault="000661D4" w:rsidP="000661D4">
      <w:pPr>
        <w:jc w:val="both"/>
        <w:rPr>
          <w:bCs/>
        </w:rPr>
      </w:pPr>
      <w:r w:rsidRPr="00FD003E">
        <w:rPr>
          <w:bCs/>
        </w:rPr>
        <w:t xml:space="preserve"> -</w:t>
      </w:r>
      <w:proofErr w:type="gramStart"/>
      <w:r w:rsidRPr="00FD003E">
        <w:rPr>
          <w:bCs/>
        </w:rPr>
        <w:t>общеобразовательный ;</w:t>
      </w:r>
      <w:proofErr w:type="gramEnd"/>
    </w:p>
    <w:p w:rsidR="000661D4" w:rsidRPr="00FD003E" w:rsidRDefault="000661D4" w:rsidP="000661D4">
      <w:pPr>
        <w:jc w:val="both"/>
        <w:rPr>
          <w:bCs/>
        </w:rPr>
      </w:pPr>
      <w:r w:rsidRPr="00FD003E">
        <w:rPr>
          <w:bCs/>
        </w:rPr>
        <w:t>-общий гуманитарный и социально-экономический;</w:t>
      </w:r>
    </w:p>
    <w:p w:rsidR="000661D4" w:rsidRPr="00FD003E" w:rsidRDefault="000661D4" w:rsidP="000661D4">
      <w:pPr>
        <w:jc w:val="both"/>
        <w:rPr>
          <w:bCs/>
        </w:rPr>
      </w:pPr>
      <w:r w:rsidRPr="00FD003E">
        <w:rPr>
          <w:bCs/>
        </w:rPr>
        <w:t xml:space="preserve"> -математический и общий естественнонаучный;</w:t>
      </w:r>
    </w:p>
    <w:p w:rsidR="000661D4" w:rsidRPr="00FD003E" w:rsidRDefault="000661D4" w:rsidP="000661D4">
      <w:pPr>
        <w:jc w:val="both"/>
        <w:rPr>
          <w:bCs/>
        </w:rPr>
      </w:pPr>
      <w:r w:rsidRPr="00FD003E">
        <w:rPr>
          <w:bCs/>
        </w:rPr>
        <w:t>- -профессиональный;</w:t>
      </w:r>
    </w:p>
    <w:p w:rsidR="000661D4" w:rsidRPr="00FD003E" w:rsidRDefault="000661D4" w:rsidP="000661D4">
      <w:pPr>
        <w:jc w:val="both"/>
        <w:rPr>
          <w:b/>
          <w:bCs/>
          <w:i/>
          <w:u w:val="single"/>
        </w:rPr>
      </w:pPr>
      <w:r w:rsidRPr="00FD003E">
        <w:rPr>
          <w:b/>
          <w:bCs/>
          <w:i/>
          <w:u w:val="single"/>
        </w:rPr>
        <w:t>Общеобразовательный цикл</w:t>
      </w:r>
    </w:p>
    <w:p w:rsidR="000661D4" w:rsidRPr="00FD003E" w:rsidRDefault="000661D4" w:rsidP="000661D4">
      <w:pPr>
        <w:jc w:val="both"/>
        <w:rPr>
          <w:bCs/>
          <w:i/>
        </w:rPr>
      </w:pPr>
    </w:p>
    <w:p w:rsidR="000661D4" w:rsidRPr="00FD003E" w:rsidRDefault="000661D4" w:rsidP="000661D4">
      <w:pPr>
        <w:jc w:val="both"/>
        <w:rPr>
          <w:bCs/>
        </w:rPr>
      </w:pPr>
      <w:r>
        <w:rPr>
          <w:bCs/>
        </w:rPr>
        <w:t>Максимальный</w:t>
      </w:r>
      <w:r w:rsidRPr="00FD003E">
        <w:rPr>
          <w:bCs/>
        </w:rPr>
        <w:t xml:space="preserve"> объем общеобразовательной подготовки составляет </w:t>
      </w:r>
      <w:r>
        <w:rPr>
          <w:bCs/>
        </w:rPr>
        <w:t>2106</w:t>
      </w:r>
      <w:r w:rsidRPr="00FD003E">
        <w:rPr>
          <w:bCs/>
        </w:rPr>
        <w:t xml:space="preserve"> часов, включая </w:t>
      </w:r>
      <w:r>
        <w:rPr>
          <w:bCs/>
        </w:rPr>
        <w:t>самостоятельную работу</w:t>
      </w:r>
      <w:r w:rsidRPr="00FD003E">
        <w:rPr>
          <w:bCs/>
        </w:rPr>
        <w:t>. Данный объем образовательной программы направлен на обеспечение получения среднего общего образования в соответствии с требованиями федерального государственного образовательного стандарта среднего общего образования с учетом профиля получаемой специальности. Профиль –техн</w:t>
      </w:r>
      <w:r>
        <w:rPr>
          <w:bCs/>
        </w:rPr>
        <w:t>ологически</w:t>
      </w:r>
      <w:r w:rsidRPr="00FD003E">
        <w:rPr>
          <w:bCs/>
        </w:rPr>
        <w:t>й</w:t>
      </w:r>
      <w:r>
        <w:rPr>
          <w:bCs/>
        </w:rPr>
        <w:t>.</w:t>
      </w:r>
      <w:r w:rsidRPr="00FD003E">
        <w:rPr>
          <w:bCs/>
        </w:rPr>
        <w:t xml:space="preserve"> Учебный план содержит 12 учебных дисциплин.</w:t>
      </w:r>
    </w:p>
    <w:p w:rsidR="000661D4" w:rsidRPr="00FD003E" w:rsidRDefault="000661D4" w:rsidP="000661D4">
      <w:pPr>
        <w:jc w:val="both"/>
        <w:rPr>
          <w:bCs/>
        </w:rPr>
      </w:pPr>
      <w:r w:rsidRPr="00FD003E">
        <w:rPr>
          <w:bCs/>
        </w:rPr>
        <w:t xml:space="preserve">В учебный план </w:t>
      </w:r>
      <w:r>
        <w:rPr>
          <w:bCs/>
        </w:rPr>
        <w:t>технологического</w:t>
      </w:r>
      <w:r w:rsidRPr="00FD003E">
        <w:rPr>
          <w:bCs/>
        </w:rPr>
        <w:t xml:space="preserve"> профиля включены учебные дисциплины из следующих обязательных предметных областей: </w:t>
      </w:r>
    </w:p>
    <w:p w:rsidR="000661D4" w:rsidRPr="00FD003E" w:rsidRDefault="000661D4" w:rsidP="000661D4">
      <w:pPr>
        <w:jc w:val="both"/>
        <w:rPr>
          <w:bCs/>
        </w:rPr>
      </w:pPr>
      <w:r w:rsidRPr="00FD003E">
        <w:rPr>
          <w:b/>
          <w:bCs/>
        </w:rPr>
        <w:t>предметная область «Русский язык и литература»</w:t>
      </w:r>
      <w:r w:rsidRPr="00FD003E">
        <w:rPr>
          <w:bCs/>
        </w:rPr>
        <w:t xml:space="preserve"> - «Русский язык», «Литература»; </w:t>
      </w:r>
    </w:p>
    <w:p w:rsidR="000661D4" w:rsidRPr="00FD003E" w:rsidRDefault="000661D4" w:rsidP="000661D4">
      <w:pPr>
        <w:jc w:val="both"/>
        <w:rPr>
          <w:bCs/>
        </w:rPr>
      </w:pPr>
      <w:r w:rsidRPr="00FD003E">
        <w:rPr>
          <w:b/>
          <w:bCs/>
        </w:rPr>
        <w:t>предметная область «Родной язык и родная литература</w:t>
      </w:r>
      <w:r w:rsidRPr="00FD003E">
        <w:rPr>
          <w:bCs/>
        </w:rPr>
        <w:t>» - «Родной язык»;</w:t>
      </w:r>
    </w:p>
    <w:p w:rsidR="000661D4" w:rsidRPr="00FD003E" w:rsidRDefault="000661D4" w:rsidP="000661D4">
      <w:pPr>
        <w:jc w:val="both"/>
        <w:rPr>
          <w:bCs/>
        </w:rPr>
      </w:pPr>
      <w:r w:rsidRPr="00FD003E">
        <w:rPr>
          <w:bCs/>
        </w:rPr>
        <w:t xml:space="preserve"> </w:t>
      </w:r>
      <w:r w:rsidRPr="00FD003E">
        <w:rPr>
          <w:b/>
          <w:bCs/>
        </w:rPr>
        <w:t>предметная область «Математика и информатика</w:t>
      </w:r>
      <w:r w:rsidRPr="00FD003E">
        <w:rPr>
          <w:bCs/>
        </w:rPr>
        <w:t>» - «Математика», «Информатика»;</w:t>
      </w:r>
    </w:p>
    <w:p w:rsidR="000661D4" w:rsidRPr="00FD003E" w:rsidRDefault="000661D4" w:rsidP="000661D4">
      <w:pPr>
        <w:jc w:val="both"/>
        <w:rPr>
          <w:bCs/>
        </w:rPr>
      </w:pPr>
      <w:r w:rsidRPr="00FD003E">
        <w:rPr>
          <w:b/>
          <w:bCs/>
        </w:rPr>
        <w:t xml:space="preserve"> предметная область «Иностранные языки»</w:t>
      </w:r>
      <w:r w:rsidRPr="00FD003E">
        <w:rPr>
          <w:bCs/>
        </w:rPr>
        <w:t xml:space="preserve"> - «Иностранный язык»; </w:t>
      </w:r>
    </w:p>
    <w:p w:rsidR="000661D4" w:rsidRPr="00FD003E" w:rsidRDefault="000661D4" w:rsidP="000661D4">
      <w:pPr>
        <w:jc w:val="both"/>
        <w:rPr>
          <w:bCs/>
        </w:rPr>
      </w:pPr>
      <w:r w:rsidRPr="00FD003E">
        <w:rPr>
          <w:b/>
          <w:bCs/>
        </w:rPr>
        <w:t>предметная область «Естественные науки»</w:t>
      </w:r>
      <w:r w:rsidRPr="00FD003E">
        <w:rPr>
          <w:bCs/>
        </w:rPr>
        <w:t xml:space="preserve"> -«Физика» «Химия», «Астрономия»; </w:t>
      </w:r>
    </w:p>
    <w:p w:rsidR="000661D4" w:rsidRDefault="000661D4" w:rsidP="000661D4">
      <w:pPr>
        <w:jc w:val="both"/>
        <w:rPr>
          <w:b/>
          <w:bCs/>
        </w:rPr>
      </w:pPr>
    </w:p>
    <w:p w:rsidR="000661D4" w:rsidRPr="00FD003E" w:rsidRDefault="000661D4" w:rsidP="000661D4">
      <w:pPr>
        <w:jc w:val="both"/>
        <w:rPr>
          <w:bCs/>
        </w:rPr>
      </w:pPr>
      <w:r w:rsidRPr="00FD003E">
        <w:rPr>
          <w:b/>
          <w:bCs/>
        </w:rPr>
        <w:t>предметная область «Общественные науки</w:t>
      </w:r>
      <w:r w:rsidRPr="00FD003E">
        <w:rPr>
          <w:bCs/>
        </w:rPr>
        <w:t>» - «История».</w:t>
      </w:r>
    </w:p>
    <w:p w:rsidR="000661D4" w:rsidRPr="00FD003E" w:rsidRDefault="000661D4" w:rsidP="000661D4">
      <w:pPr>
        <w:jc w:val="both"/>
        <w:rPr>
          <w:bCs/>
        </w:rPr>
      </w:pPr>
      <w:r w:rsidRPr="00FD003E">
        <w:rPr>
          <w:b/>
          <w:bCs/>
        </w:rPr>
        <w:t>предметная область «Физическая культура, экология и основы безопасности жизнедеятельности»</w:t>
      </w:r>
      <w:r w:rsidRPr="00FD003E">
        <w:rPr>
          <w:bCs/>
        </w:rPr>
        <w:t xml:space="preserve"> - «Физическая культура», «Основы безопасности жизнедеятельности». </w:t>
      </w:r>
    </w:p>
    <w:p w:rsidR="000661D4" w:rsidRDefault="000661D4" w:rsidP="000661D4">
      <w:pPr>
        <w:jc w:val="both"/>
        <w:rPr>
          <w:bCs/>
        </w:rPr>
      </w:pPr>
      <w:r w:rsidRPr="00FD003E">
        <w:rPr>
          <w:bCs/>
        </w:rPr>
        <w:t>Учебный план предусматривает изучение не менее одного учебного предмета из каждой предметной области и содержит 3 учебных дисциплины (</w:t>
      </w:r>
      <w:proofErr w:type="gramStart"/>
      <w:r w:rsidRPr="00FD003E">
        <w:rPr>
          <w:bCs/>
        </w:rPr>
        <w:t>математика,  информатика</w:t>
      </w:r>
      <w:proofErr w:type="gramEnd"/>
      <w:r w:rsidRPr="00FD003E">
        <w:rPr>
          <w:bCs/>
        </w:rPr>
        <w:t xml:space="preserve">, физика  ) на углубленном уровне изучения. </w:t>
      </w:r>
    </w:p>
    <w:p w:rsidR="000661D4" w:rsidRPr="00FD003E" w:rsidRDefault="000661D4" w:rsidP="000661D4">
      <w:pPr>
        <w:jc w:val="both"/>
        <w:rPr>
          <w:bCs/>
        </w:rPr>
      </w:pPr>
      <w:r w:rsidRPr="00FD003E">
        <w:rPr>
          <w:b/>
          <w:bCs/>
        </w:rPr>
        <w:t>В учебном плане предусмотрено выполнение обучающимися индивидуального проекта</w:t>
      </w:r>
      <w:r w:rsidRPr="00FD003E">
        <w:rPr>
          <w:bCs/>
        </w:rPr>
        <w:t xml:space="preserve">. Индивидуальный проект выполняется обучающимся самостоятельно под руководством преподавателя по выбранной теме в рамках одного или нескольких </w:t>
      </w:r>
      <w:r w:rsidRPr="00FD003E">
        <w:rPr>
          <w:bCs/>
        </w:rPr>
        <w:lastRenderedPageBreak/>
        <w:t>изучаемых учебных дисциплин, курсов в любой избранной области деятельности (познавательной, практической, учебно-исследовательской, социальной, художественно-творческой, иной).</w:t>
      </w:r>
    </w:p>
    <w:p w:rsidR="000661D4" w:rsidRPr="00FD003E" w:rsidRDefault="000661D4" w:rsidP="000661D4">
      <w:pPr>
        <w:jc w:val="both"/>
        <w:rPr>
          <w:bCs/>
        </w:rPr>
      </w:pPr>
      <w:r w:rsidRPr="00FD003E">
        <w:rPr>
          <w:bCs/>
        </w:rPr>
        <w:t>Изучение учебных дисциплин, необходимых для получения обучающимися среднего общего образования происходит в течение 1-2 курса освоения соответствующей образовательной программы.</w:t>
      </w:r>
    </w:p>
    <w:p w:rsidR="000661D4" w:rsidRPr="00FD003E" w:rsidRDefault="000661D4" w:rsidP="000661D4">
      <w:pPr>
        <w:jc w:val="both"/>
      </w:pPr>
    </w:p>
    <w:p w:rsidR="000661D4" w:rsidRPr="00FD003E" w:rsidRDefault="000661D4" w:rsidP="000661D4">
      <w:pPr>
        <w:jc w:val="both"/>
        <w:rPr>
          <w:b/>
        </w:rPr>
      </w:pPr>
      <w:r w:rsidRPr="00FD003E">
        <w:rPr>
          <w:b/>
        </w:rPr>
        <w:t xml:space="preserve">Формирование структуры </w:t>
      </w:r>
      <w:proofErr w:type="gramStart"/>
      <w:r w:rsidRPr="00FD003E">
        <w:rPr>
          <w:b/>
        </w:rPr>
        <w:t>ООП  с</w:t>
      </w:r>
      <w:proofErr w:type="gramEnd"/>
      <w:r w:rsidRPr="00FD003E">
        <w:rPr>
          <w:b/>
        </w:rPr>
        <w:t xml:space="preserve"> учетом вариативной части.</w:t>
      </w:r>
    </w:p>
    <w:p w:rsidR="000661D4" w:rsidRPr="00FD003E" w:rsidRDefault="000661D4" w:rsidP="000661D4">
      <w:pPr>
        <w:jc w:val="both"/>
      </w:pPr>
    </w:p>
    <w:p w:rsidR="000661D4" w:rsidRPr="00FD003E" w:rsidRDefault="000661D4" w:rsidP="000661D4">
      <w:pPr>
        <w:jc w:val="both"/>
        <w:rPr>
          <w:bCs/>
        </w:rPr>
      </w:pPr>
      <w:r w:rsidRPr="00FD003E">
        <w:rPr>
          <w:bCs/>
        </w:rPr>
        <w:t xml:space="preserve">Общий объем образовательной нагрузки обучающихся по программе составляет </w:t>
      </w:r>
      <w:r>
        <w:rPr>
          <w:bCs/>
        </w:rPr>
        <w:t>7 686</w:t>
      </w:r>
      <w:r w:rsidRPr="00FD003E">
        <w:rPr>
          <w:bCs/>
        </w:rPr>
        <w:t xml:space="preserve"> час</w:t>
      </w:r>
      <w:r>
        <w:rPr>
          <w:bCs/>
        </w:rPr>
        <w:t>ов</w:t>
      </w:r>
      <w:r w:rsidRPr="00FD003E">
        <w:rPr>
          <w:bCs/>
        </w:rPr>
        <w:t xml:space="preserve"> и включает изучение (включая общеобразовательный </w:t>
      </w:r>
      <w:proofErr w:type="gramStart"/>
      <w:r w:rsidRPr="00FD003E">
        <w:rPr>
          <w:bCs/>
        </w:rPr>
        <w:t>цикл)  учебных</w:t>
      </w:r>
      <w:proofErr w:type="gramEnd"/>
      <w:r w:rsidRPr="00FD003E">
        <w:rPr>
          <w:bCs/>
        </w:rPr>
        <w:t xml:space="preserve">  циклов:</w:t>
      </w:r>
    </w:p>
    <w:p w:rsidR="000661D4" w:rsidRPr="00FD003E" w:rsidRDefault="000661D4" w:rsidP="000661D4">
      <w:pPr>
        <w:jc w:val="both"/>
        <w:rPr>
          <w:bCs/>
        </w:rPr>
      </w:pPr>
      <w:r w:rsidRPr="00FD003E">
        <w:rPr>
          <w:bCs/>
        </w:rPr>
        <w:t>-общий гуманитарный и социально-экономический;</w:t>
      </w:r>
    </w:p>
    <w:p w:rsidR="000661D4" w:rsidRPr="00FD003E" w:rsidRDefault="000661D4" w:rsidP="000661D4">
      <w:pPr>
        <w:jc w:val="both"/>
        <w:rPr>
          <w:bCs/>
        </w:rPr>
      </w:pPr>
      <w:r w:rsidRPr="00FD003E">
        <w:rPr>
          <w:bCs/>
        </w:rPr>
        <w:t xml:space="preserve"> -математический и общий естественнонаучный;</w:t>
      </w:r>
    </w:p>
    <w:p w:rsidR="000661D4" w:rsidRPr="00FD003E" w:rsidRDefault="000661D4" w:rsidP="000661D4">
      <w:pPr>
        <w:jc w:val="both"/>
        <w:rPr>
          <w:bCs/>
        </w:rPr>
      </w:pPr>
      <w:r w:rsidRPr="00FD003E">
        <w:rPr>
          <w:bCs/>
        </w:rPr>
        <w:t xml:space="preserve">-профессиональный </w:t>
      </w:r>
    </w:p>
    <w:p w:rsidR="000661D4" w:rsidRDefault="000661D4" w:rsidP="000661D4">
      <w:pPr>
        <w:tabs>
          <w:tab w:val="left" w:pos="284"/>
          <w:tab w:val="left" w:pos="567"/>
        </w:tabs>
        <w:rPr>
          <w:b/>
          <w:bCs/>
          <w:u w:val="single"/>
        </w:rPr>
      </w:pPr>
    </w:p>
    <w:p w:rsidR="000661D4" w:rsidRPr="00204D06" w:rsidRDefault="000661D4" w:rsidP="000661D4">
      <w:pPr>
        <w:tabs>
          <w:tab w:val="left" w:pos="284"/>
          <w:tab w:val="left" w:pos="567"/>
        </w:tabs>
        <w:rPr>
          <w:bCs/>
        </w:rPr>
      </w:pPr>
      <w:r w:rsidRPr="00204D06">
        <w:rPr>
          <w:b/>
          <w:bCs/>
          <w:u w:val="single"/>
        </w:rPr>
        <w:t xml:space="preserve">Формирование вариативной части ОПОП </w:t>
      </w:r>
    </w:p>
    <w:p w:rsidR="000661D4" w:rsidRPr="006C46A2" w:rsidRDefault="000661D4" w:rsidP="000661D4">
      <w:pPr>
        <w:jc w:val="both"/>
      </w:pPr>
      <w:r w:rsidRPr="00204D06">
        <w:t>Вариативная часть программы в объеме 900 часов использована на увеличение объема времени, отведенного на изучение дисциплин и введение новых дисциплин. Распределение вариативной части ППССЗ по циклам представлено в таблице:</w:t>
      </w:r>
    </w:p>
    <w:tbl>
      <w:tblPr>
        <w:tblpPr w:leftFromText="180" w:rightFromText="180" w:vertAnchor="text" w:horzAnchor="margin" w:tblpY="137"/>
        <w:tblW w:w="9918" w:type="dxa"/>
        <w:tblLayout w:type="fixed"/>
        <w:tblLook w:val="0000" w:firstRow="0" w:lastRow="0" w:firstColumn="0" w:lastColumn="0" w:noHBand="0" w:noVBand="0"/>
      </w:tblPr>
      <w:tblGrid>
        <w:gridCol w:w="1271"/>
        <w:gridCol w:w="992"/>
        <w:gridCol w:w="2552"/>
        <w:gridCol w:w="5103"/>
      </w:tblGrid>
      <w:tr w:rsidR="000661D4" w:rsidRPr="00B3211C" w:rsidTr="002945C1">
        <w:trPr>
          <w:trHeight w:val="256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1D4" w:rsidRPr="00B3211C" w:rsidRDefault="000661D4" w:rsidP="002945C1">
            <w:pPr>
              <w:suppressAutoHyphens w:val="0"/>
              <w:jc w:val="both"/>
              <w:rPr>
                <w:bCs/>
                <w:color w:val="000000"/>
                <w:w w:val="90"/>
                <w:lang w:eastAsia="ru-RU"/>
              </w:rPr>
            </w:pPr>
            <w:r w:rsidRPr="00B3211C">
              <w:rPr>
                <w:bCs/>
                <w:color w:val="000000"/>
                <w:w w:val="90"/>
                <w:lang w:eastAsia="ru-RU"/>
              </w:rPr>
              <w:t xml:space="preserve">Индексы циклов </w:t>
            </w:r>
          </w:p>
        </w:tc>
        <w:tc>
          <w:tcPr>
            <w:tcW w:w="86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1D4" w:rsidRPr="00B3211C" w:rsidRDefault="000661D4" w:rsidP="002945C1">
            <w:pPr>
              <w:suppressAutoHyphens w:val="0"/>
              <w:jc w:val="both"/>
              <w:rPr>
                <w:bCs/>
                <w:color w:val="000000"/>
                <w:w w:val="90"/>
                <w:lang w:eastAsia="ru-RU"/>
              </w:rPr>
            </w:pPr>
            <w:r w:rsidRPr="00B3211C">
              <w:rPr>
                <w:bCs/>
                <w:color w:val="000000"/>
                <w:w w:val="90"/>
                <w:lang w:eastAsia="ru-RU"/>
              </w:rPr>
              <w:t>Распределение вариативной части (ВЧ) по циклам, часов</w:t>
            </w:r>
          </w:p>
        </w:tc>
      </w:tr>
      <w:tr w:rsidR="000661D4" w:rsidRPr="00B3211C" w:rsidTr="002945C1">
        <w:trPr>
          <w:trHeight w:val="136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1D4" w:rsidRPr="00B3211C" w:rsidRDefault="000661D4" w:rsidP="002945C1">
            <w:pPr>
              <w:suppressAutoHyphens w:val="0"/>
              <w:jc w:val="both"/>
              <w:rPr>
                <w:bCs/>
                <w:color w:val="000000"/>
                <w:w w:val="9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1D4" w:rsidRPr="00B3211C" w:rsidRDefault="000661D4" w:rsidP="002945C1">
            <w:pPr>
              <w:suppressAutoHyphens w:val="0"/>
              <w:jc w:val="both"/>
              <w:rPr>
                <w:bCs/>
                <w:color w:val="000000"/>
                <w:w w:val="90"/>
                <w:lang w:eastAsia="ru-RU"/>
              </w:rPr>
            </w:pPr>
            <w:r w:rsidRPr="00B3211C">
              <w:rPr>
                <w:bCs/>
                <w:color w:val="000000"/>
                <w:w w:val="90"/>
                <w:lang w:eastAsia="ru-RU"/>
              </w:rPr>
              <w:t> 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1D4" w:rsidRPr="00B3211C" w:rsidRDefault="000661D4" w:rsidP="002945C1">
            <w:pPr>
              <w:suppressAutoHyphens w:val="0"/>
              <w:jc w:val="both"/>
              <w:rPr>
                <w:bCs/>
                <w:color w:val="000000"/>
                <w:w w:val="90"/>
                <w:lang w:eastAsia="ru-RU"/>
              </w:rPr>
            </w:pPr>
            <w:r w:rsidRPr="00B3211C">
              <w:rPr>
                <w:bCs/>
                <w:color w:val="000000"/>
                <w:w w:val="90"/>
                <w:lang w:eastAsia="ru-RU"/>
              </w:rPr>
              <w:t>В том числе</w:t>
            </w:r>
          </w:p>
        </w:tc>
      </w:tr>
      <w:tr w:rsidR="000661D4" w:rsidRPr="00B3211C" w:rsidTr="002945C1">
        <w:trPr>
          <w:trHeight w:val="224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1D4" w:rsidRPr="00B3211C" w:rsidRDefault="000661D4" w:rsidP="002945C1">
            <w:pPr>
              <w:suppressAutoHyphens w:val="0"/>
              <w:jc w:val="both"/>
              <w:rPr>
                <w:bCs/>
                <w:color w:val="000000"/>
                <w:w w:val="9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1D4" w:rsidRPr="00B3211C" w:rsidRDefault="000661D4" w:rsidP="002945C1">
            <w:pPr>
              <w:suppressAutoHyphens w:val="0"/>
              <w:jc w:val="both"/>
              <w:rPr>
                <w:bCs/>
                <w:color w:val="000000"/>
                <w:w w:val="90"/>
                <w:lang w:eastAsia="ru-RU"/>
              </w:rPr>
            </w:pPr>
            <w:r w:rsidRPr="00B3211C">
              <w:rPr>
                <w:bCs/>
                <w:color w:val="000000"/>
                <w:w w:val="90"/>
                <w:lang w:eastAsia="ru-RU"/>
              </w:rPr>
              <w:t>Всего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661D4" w:rsidRPr="00B3211C" w:rsidRDefault="000661D4" w:rsidP="002945C1">
            <w:pPr>
              <w:suppressAutoHyphens w:val="0"/>
              <w:jc w:val="both"/>
              <w:rPr>
                <w:bCs/>
                <w:color w:val="000000"/>
                <w:w w:val="90"/>
                <w:lang w:eastAsia="ru-RU"/>
              </w:rPr>
            </w:pPr>
            <w:r w:rsidRPr="00B3211C">
              <w:rPr>
                <w:bCs/>
                <w:color w:val="000000"/>
                <w:w w:val="90"/>
                <w:lang w:eastAsia="ru-RU"/>
              </w:rPr>
              <w:t>На увеличение объема обязательных дисциплин, профессиональных модулей</w:t>
            </w: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1D4" w:rsidRPr="00B3211C" w:rsidRDefault="000661D4" w:rsidP="002945C1">
            <w:pPr>
              <w:suppressAutoHyphens w:val="0"/>
              <w:jc w:val="both"/>
              <w:rPr>
                <w:bCs/>
                <w:color w:val="000000"/>
                <w:w w:val="90"/>
                <w:lang w:eastAsia="ru-RU"/>
              </w:rPr>
            </w:pPr>
            <w:r w:rsidRPr="00B3211C">
              <w:rPr>
                <w:bCs/>
                <w:color w:val="000000"/>
                <w:w w:val="90"/>
                <w:lang w:eastAsia="ru-RU"/>
              </w:rPr>
              <w:t>На введение дисциплин вариативной части</w:t>
            </w:r>
          </w:p>
        </w:tc>
      </w:tr>
      <w:tr w:rsidR="000661D4" w:rsidRPr="00B3211C" w:rsidTr="002945C1">
        <w:trPr>
          <w:trHeight w:val="224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1D4" w:rsidRPr="00B3211C" w:rsidRDefault="000661D4" w:rsidP="002945C1">
            <w:pPr>
              <w:suppressAutoHyphens w:val="0"/>
              <w:jc w:val="both"/>
              <w:rPr>
                <w:bCs/>
                <w:color w:val="000000"/>
                <w:w w:val="90"/>
                <w:lang w:eastAsia="ru-RU"/>
              </w:rPr>
            </w:pPr>
            <w:r w:rsidRPr="00B3211C">
              <w:rPr>
                <w:bCs/>
                <w:color w:val="000000"/>
                <w:w w:val="90"/>
                <w:lang w:eastAsia="ru-RU"/>
              </w:rPr>
              <w:t>ОГСЭ 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1D4" w:rsidRPr="00B3211C" w:rsidRDefault="000661D4" w:rsidP="002945C1">
            <w:pPr>
              <w:suppressAutoHyphens w:val="0"/>
              <w:jc w:val="both"/>
              <w:rPr>
                <w:b/>
                <w:bCs/>
                <w:color w:val="000000"/>
                <w:w w:val="90"/>
                <w:lang w:eastAsia="ru-RU"/>
              </w:rPr>
            </w:pPr>
            <w:r w:rsidRPr="00B3211C">
              <w:rPr>
                <w:b/>
                <w:bCs/>
                <w:color w:val="000000"/>
                <w:w w:val="90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661D4" w:rsidRPr="00B3211C" w:rsidRDefault="000661D4" w:rsidP="002945C1">
            <w:pPr>
              <w:suppressAutoHyphens w:val="0"/>
              <w:jc w:val="both"/>
              <w:rPr>
                <w:b/>
                <w:bCs/>
                <w:color w:val="000000"/>
                <w:w w:val="90"/>
                <w:lang w:eastAsia="ru-RU"/>
              </w:rPr>
            </w:pPr>
            <w:r w:rsidRPr="00B3211C">
              <w:rPr>
                <w:b/>
                <w:bCs/>
                <w:color w:val="000000"/>
                <w:w w:val="90"/>
                <w:lang w:eastAsia="ru-RU"/>
              </w:rPr>
              <w:t>0</w:t>
            </w: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1D4" w:rsidRPr="00B3211C" w:rsidRDefault="000661D4" w:rsidP="002945C1">
            <w:pPr>
              <w:suppressAutoHyphens w:val="0"/>
              <w:jc w:val="both"/>
              <w:rPr>
                <w:b/>
                <w:bCs/>
                <w:color w:val="000000"/>
                <w:w w:val="90"/>
                <w:lang w:eastAsia="ru-RU"/>
              </w:rPr>
            </w:pPr>
            <w:r w:rsidRPr="00B3211C">
              <w:rPr>
                <w:b/>
                <w:bCs/>
                <w:color w:val="000000"/>
                <w:w w:val="90"/>
                <w:lang w:eastAsia="ru-RU"/>
              </w:rPr>
              <w:t>0</w:t>
            </w:r>
          </w:p>
        </w:tc>
      </w:tr>
      <w:tr w:rsidR="000661D4" w:rsidRPr="00B3211C" w:rsidTr="002945C1">
        <w:trPr>
          <w:trHeight w:val="224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1D4" w:rsidRPr="00B3211C" w:rsidRDefault="000661D4" w:rsidP="002945C1">
            <w:pPr>
              <w:suppressAutoHyphens w:val="0"/>
              <w:jc w:val="both"/>
              <w:rPr>
                <w:bCs/>
                <w:color w:val="000000"/>
                <w:w w:val="90"/>
                <w:lang w:eastAsia="ru-RU"/>
              </w:rPr>
            </w:pPr>
            <w:r w:rsidRPr="00B3211C">
              <w:rPr>
                <w:bCs/>
                <w:color w:val="000000"/>
                <w:w w:val="90"/>
                <w:lang w:eastAsia="ru-RU"/>
              </w:rPr>
              <w:t>ЕН 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1D4" w:rsidRPr="00B3211C" w:rsidRDefault="000661D4" w:rsidP="002945C1">
            <w:pPr>
              <w:suppressAutoHyphens w:val="0"/>
              <w:jc w:val="both"/>
              <w:rPr>
                <w:bCs/>
                <w:color w:val="000000"/>
                <w:w w:val="90"/>
                <w:lang w:eastAsia="ru-RU"/>
              </w:rPr>
            </w:pPr>
            <w:r w:rsidRPr="00B3211C">
              <w:rPr>
                <w:bCs/>
                <w:color w:val="000000"/>
                <w:w w:val="90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661D4" w:rsidRPr="00B3211C" w:rsidRDefault="000661D4" w:rsidP="002945C1">
            <w:pPr>
              <w:suppressAutoHyphens w:val="0"/>
              <w:jc w:val="both"/>
              <w:rPr>
                <w:bCs/>
                <w:color w:val="000000"/>
                <w:w w:val="90"/>
                <w:lang w:eastAsia="ru-RU"/>
              </w:rPr>
            </w:pPr>
            <w:r w:rsidRPr="00B3211C">
              <w:rPr>
                <w:bCs/>
                <w:color w:val="000000"/>
                <w:w w:val="90"/>
                <w:lang w:eastAsia="ru-RU"/>
              </w:rPr>
              <w:t>4</w:t>
            </w: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1D4" w:rsidRPr="00B3211C" w:rsidRDefault="000661D4" w:rsidP="002945C1">
            <w:pPr>
              <w:suppressAutoHyphens w:val="0"/>
              <w:jc w:val="both"/>
              <w:rPr>
                <w:b/>
                <w:bCs/>
                <w:color w:val="000000"/>
                <w:w w:val="90"/>
                <w:lang w:eastAsia="ru-RU"/>
              </w:rPr>
            </w:pPr>
            <w:r w:rsidRPr="00B3211C">
              <w:rPr>
                <w:b/>
                <w:bCs/>
                <w:color w:val="000000"/>
                <w:w w:val="90"/>
                <w:lang w:eastAsia="ru-RU"/>
              </w:rPr>
              <w:t>0</w:t>
            </w:r>
          </w:p>
        </w:tc>
      </w:tr>
      <w:tr w:rsidR="000661D4" w:rsidRPr="00B3211C" w:rsidTr="002945C1">
        <w:trPr>
          <w:trHeight w:val="152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1D4" w:rsidRPr="00B3211C" w:rsidRDefault="000661D4" w:rsidP="002945C1">
            <w:pPr>
              <w:suppressAutoHyphens w:val="0"/>
              <w:jc w:val="both"/>
              <w:rPr>
                <w:color w:val="000000"/>
                <w:w w:val="90"/>
                <w:lang w:eastAsia="ru-RU"/>
              </w:rPr>
            </w:pPr>
            <w:r>
              <w:rPr>
                <w:color w:val="000000"/>
                <w:w w:val="90"/>
                <w:lang w:eastAsia="ru-RU"/>
              </w:rPr>
              <w:t>П:</w:t>
            </w:r>
            <w:r w:rsidRPr="00B3211C">
              <w:rPr>
                <w:color w:val="000000"/>
                <w:w w:val="90"/>
                <w:lang w:eastAsia="ru-RU"/>
              </w:rPr>
              <w:t>ОП.00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1D4" w:rsidRPr="00B3211C" w:rsidRDefault="000661D4" w:rsidP="002945C1">
            <w:pPr>
              <w:suppressAutoHyphens w:val="0"/>
              <w:jc w:val="both"/>
              <w:rPr>
                <w:color w:val="000000"/>
                <w:w w:val="90"/>
                <w:lang w:eastAsia="ru-RU"/>
              </w:rPr>
            </w:pPr>
            <w:r w:rsidRPr="00B3211C">
              <w:rPr>
                <w:color w:val="000000"/>
                <w:w w:val="90"/>
                <w:lang w:eastAsia="ru-RU"/>
              </w:rPr>
              <w:t>731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1D4" w:rsidRPr="00B3211C" w:rsidRDefault="000661D4" w:rsidP="002945C1">
            <w:pPr>
              <w:suppressAutoHyphens w:val="0"/>
              <w:jc w:val="both"/>
              <w:rPr>
                <w:color w:val="000000"/>
                <w:w w:val="90"/>
                <w:lang w:eastAsia="ru-RU"/>
              </w:rPr>
            </w:pPr>
            <w:r w:rsidRPr="00B3211C">
              <w:rPr>
                <w:color w:val="000000"/>
                <w:w w:val="90"/>
                <w:lang w:eastAsia="ru-RU"/>
              </w:rPr>
              <w:t>295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1D4" w:rsidRPr="00B3211C" w:rsidRDefault="000661D4" w:rsidP="002945C1">
            <w:pPr>
              <w:suppressAutoHyphens w:val="0"/>
              <w:jc w:val="both"/>
              <w:rPr>
                <w:color w:val="000000"/>
                <w:w w:val="90"/>
                <w:lang w:eastAsia="ru-RU"/>
              </w:rPr>
            </w:pPr>
            <w:r w:rsidRPr="00B3211C">
              <w:rPr>
                <w:color w:val="000000"/>
                <w:w w:val="90"/>
                <w:lang w:eastAsia="ru-RU"/>
              </w:rPr>
              <w:t>436, а именно:</w:t>
            </w:r>
          </w:p>
          <w:p w:rsidR="000661D4" w:rsidRPr="00B3211C" w:rsidRDefault="000661D4" w:rsidP="002945C1">
            <w:pPr>
              <w:suppressAutoHyphens w:val="0"/>
              <w:jc w:val="both"/>
              <w:rPr>
                <w:color w:val="000000"/>
                <w:w w:val="90"/>
                <w:lang w:eastAsia="ru-RU"/>
              </w:rPr>
            </w:pPr>
            <w:r w:rsidRPr="00B3211C">
              <w:rPr>
                <w:color w:val="000000"/>
                <w:w w:val="90"/>
                <w:lang w:eastAsia="ru-RU"/>
              </w:rPr>
              <w:t xml:space="preserve">- ОП 10 </w:t>
            </w:r>
            <w:r>
              <w:rPr>
                <w:color w:val="000000"/>
                <w:w w:val="90"/>
                <w:lang w:eastAsia="ru-RU"/>
              </w:rPr>
              <w:t>П</w:t>
            </w:r>
            <w:r w:rsidRPr="00B3211C">
              <w:rPr>
                <w:color w:val="000000"/>
                <w:w w:val="90"/>
                <w:lang w:eastAsia="ru-RU"/>
              </w:rPr>
              <w:t>равовое обеспечение профессиональной деятельности -</w:t>
            </w:r>
            <w:r>
              <w:rPr>
                <w:color w:val="000000"/>
                <w:w w:val="90"/>
                <w:lang w:eastAsia="ru-RU"/>
              </w:rPr>
              <w:t>64 академических</w:t>
            </w:r>
            <w:r w:rsidRPr="00B3211C">
              <w:rPr>
                <w:color w:val="000000"/>
                <w:w w:val="90"/>
                <w:lang w:eastAsia="ru-RU"/>
              </w:rPr>
              <w:t xml:space="preserve"> час</w:t>
            </w:r>
            <w:r>
              <w:rPr>
                <w:color w:val="000000"/>
                <w:w w:val="90"/>
                <w:lang w:eastAsia="ru-RU"/>
              </w:rPr>
              <w:t>а</w:t>
            </w:r>
            <w:r w:rsidRPr="00B3211C">
              <w:rPr>
                <w:color w:val="000000"/>
                <w:w w:val="90"/>
                <w:lang w:eastAsia="ru-RU"/>
              </w:rPr>
              <w:t>;</w:t>
            </w:r>
          </w:p>
          <w:p w:rsidR="000661D4" w:rsidRPr="00B3211C" w:rsidRDefault="000661D4" w:rsidP="002945C1">
            <w:pPr>
              <w:suppressAutoHyphens w:val="0"/>
              <w:jc w:val="both"/>
              <w:rPr>
                <w:color w:val="000000"/>
                <w:w w:val="90"/>
                <w:lang w:eastAsia="ru-RU"/>
              </w:rPr>
            </w:pPr>
            <w:r w:rsidRPr="00B3211C">
              <w:rPr>
                <w:color w:val="000000"/>
                <w:w w:val="90"/>
                <w:lang w:eastAsia="ru-RU"/>
              </w:rPr>
              <w:t>-ОП 11 Информационные технологии в профессии-</w:t>
            </w:r>
            <w:r>
              <w:rPr>
                <w:color w:val="000000"/>
                <w:w w:val="90"/>
                <w:lang w:eastAsia="ru-RU"/>
              </w:rPr>
              <w:t>136</w:t>
            </w:r>
            <w:r w:rsidRPr="00B3211C">
              <w:rPr>
                <w:color w:val="000000"/>
                <w:w w:val="90"/>
                <w:lang w:eastAsia="ru-RU"/>
              </w:rPr>
              <w:t xml:space="preserve"> часа;</w:t>
            </w:r>
          </w:p>
          <w:p w:rsidR="000661D4" w:rsidRPr="00B3211C" w:rsidRDefault="000661D4" w:rsidP="002945C1">
            <w:pPr>
              <w:suppressAutoHyphens w:val="0"/>
              <w:jc w:val="both"/>
              <w:rPr>
                <w:color w:val="000000"/>
                <w:w w:val="90"/>
                <w:lang w:eastAsia="ru-RU"/>
              </w:rPr>
            </w:pPr>
            <w:r w:rsidRPr="00B3211C">
              <w:rPr>
                <w:color w:val="000000"/>
                <w:w w:val="90"/>
                <w:lang w:eastAsia="ru-RU"/>
              </w:rPr>
              <w:t>- ОП 12 Экономика отрасли-80 ч;</w:t>
            </w:r>
          </w:p>
          <w:p w:rsidR="000661D4" w:rsidRPr="00B3211C" w:rsidRDefault="000661D4" w:rsidP="002945C1">
            <w:pPr>
              <w:suppressAutoHyphens w:val="0"/>
              <w:jc w:val="both"/>
              <w:rPr>
                <w:color w:val="000000"/>
                <w:w w:val="90"/>
                <w:lang w:eastAsia="ru-RU"/>
              </w:rPr>
            </w:pPr>
            <w:r w:rsidRPr="00B3211C">
              <w:rPr>
                <w:color w:val="000000"/>
                <w:w w:val="90"/>
                <w:lang w:eastAsia="ru-RU"/>
              </w:rPr>
              <w:t>ОП13 Основы корпоративной этики-40 часов</w:t>
            </w:r>
          </w:p>
          <w:p w:rsidR="000661D4" w:rsidRPr="00B3211C" w:rsidRDefault="000661D4" w:rsidP="002945C1">
            <w:pPr>
              <w:suppressAutoHyphens w:val="0"/>
              <w:jc w:val="both"/>
              <w:rPr>
                <w:color w:val="000000"/>
                <w:w w:val="90"/>
                <w:lang w:eastAsia="ru-RU"/>
              </w:rPr>
            </w:pPr>
            <w:r w:rsidRPr="00B3211C">
              <w:rPr>
                <w:color w:val="000000"/>
                <w:w w:val="90"/>
                <w:lang w:eastAsia="ru-RU"/>
              </w:rPr>
              <w:t xml:space="preserve">ОП </w:t>
            </w:r>
            <w:r>
              <w:rPr>
                <w:color w:val="000000"/>
                <w:w w:val="90"/>
                <w:lang w:eastAsia="ru-RU"/>
              </w:rPr>
              <w:t>14 Транспортная безопасность -116</w:t>
            </w:r>
          </w:p>
        </w:tc>
      </w:tr>
      <w:tr w:rsidR="000661D4" w:rsidRPr="00B3211C" w:rsidTr="002945C1">
        <w:trPr>
          <w:trHeight w:val="152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1D4" w:rsidRPr="00B3211C" w:rsidRDefault="000661D4" w:rsidP="002945C1">
            <w:pPr>
              <w:suppressAutoHyphens w:val="0"/>
              <w:jc w:val="both"/>
              <w:rPr>
                <w:color w:val="000000"/>
                <w:w w:val="90"/>
                <w:lang w:eastAsia="ru-RU"/>
              </w:rPr>
            </w:pPr>
            <w:r>
              <w:rPr>
                <w:color w:val="000000"/>
                <w:w w:val="90"/>
                <w:lang w:eastAsia="ru-RU"/>
              </w:rPr>
              <w:t>П:</w:t>
            </w:r>
            <w:r w:rsidRPr="00B3211C">
              <w:rPr>
                <w:color w:val="000000"/>
                <w:w w:val="90"/>
                <w:lang w:eastAsia="ru-RU"/>
              </w:rPr>
              <w:t>ПМ.00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1D4" w:rsidRPr="00B3211C" w:rsidRDefault="000661D4" w:rsidP="002945C1">
            <w:pPr>
              <w:suppressAutoHyphens w:val="0"/>
              <w:jc w:val="both"/>
              <w:rPr>
                <w:color w:val="000000"/>
                <w:w w:val="90"/>
                <w:lang w:eastAsia="ru-RU"/>
              </w:rPr>
            </w:pPr>
            <w:r w:rsidRPr="00B3211C">
              <w:rPr>
                <w:color w:val="000000"/>
                <w:w w:val="90"/>
                <w:lang w:eastAsia="ru-RU"/>
              </w:rPr>
              <w:t>165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1D4" w:rsidRPr="00B3211C" w:rsidRDefault="000661D4" w:rsidP="002945C1">
            <w:pPr>
              <w:suppressAutoHyphens w:val="0"/>
              <w:jc w:val="both"/>
              <w:rPr>
                <w:color w:val="000000"/>
                <w:w w:val="90"/>
                <w:lang w:eastAsia="ru-RU"/>
              </w:rPr>
            </w:pPr>
            <w:r w:rsidRPr="00B3211C">
              <w:rPr>
                <w:color w:val="000000"/>
                <w:w w:val="90"/>
                <w:lang w:eastAsia="ru-RU"/>
              </w:rPr>
              <w:t>165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1D4" w:rsidRPr="00B3211C" w:rsidRDefault="000661D4" w:rsidP="002945C1">
            <w:pPr>
              <w:suppressAutoHyphens w:val="0"/>
              <w:jc w:val="both"/>
              <w:rPr>
                <w:color w:val="000000"/>
                <w:w w:val="90"/>
                <w:lang w:eastAsia="ru-RU"/>
              </w:rPr>
            </w:pPr>
            <w:r w:rsidRPr="00B3211C">
              <w:rPr>
                <w:color w:val="000000"/>
                <w:w w:val="90"/>
                <w:lang w:eastAsia="ru-RU"/>
              </w:rPr>
              <w:t>0</w:t>
            </w:r>
          </w:p>
        </w:tc>
      </w:tr>
      <w:tr w:rsidR="000661D4" w:rsidRPr="00B3211C" w:rsidTr="002945C1">
        <w:trPr>
          <w:trHeight w:val="336"/>
        </w:trPr>
        <w:tc>
          <w:tcPr>
            <w:tcW w:w="1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1D4" w:rsidRPr="00B3211C" w:rsidRDefault="000661D4" w:rsidP="002945C1">
            <w:pPr>
              <w:suppressAutoHyphens w:val="0"/>
              <w:jc w:val="both"/>
              <w:rPr>
                <w:b/>
                <w:color w:val="000000"/>
                <w:w w:val="90"/>
                <w:lang w:eastAsia="ru-RU"/>
              </w:rPr>
            </w:pPr>
            <w:r w:rsidRPr="00B3211C">
              <w:rPr>
                <w:color w:val="000000"/>
                <w:w w:val="90"/>
                <w:lang w:eastAsia="ru-RU"/>
              </w:rPr>
              <w:t xml:space="preserve">Итого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1D4" w:rsidRPr="00B3211C" w:rsidRDefault="000661D4" w:rsidP="002945C1">
            <w:pPr>
              <w:suppressAutoHyphens w:val="0"/>
              <w:jc w:val="both"/>
              <w:rPr>
                <w:b/>
                <w:color w:val="000000"/>
                <w:w w:val="90"/>
                <w:lang w:eastAsia="ru-RU"/>
              </w:rPr>
            </w:pPr>
            <w:r w:rsidRPr="00B3211C">
              <w:rPr>
                <w:b/>
                <w:color w:val="000000"/>
                <w:w w:val="90"/>
                <w:lang w:eastAsia="ru-RU"/>
              </w:rPr>
              <w:t>900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1D4" w:rsidRPr="00B3211C" w:rsidRDefault="000661D4" w:rsidP="002945C1">
            <w:pPr>
              <w:suppressAutoHyphens w:val="0"/>
              <w:jc w:val="both"/>
              <w:rPr>
                <w:b/>
                <w:color w:val="000000"/>
                <w:w w:val="90"/>
                <w:lang w:eastAsia="ru-RU"/>
              </w:rPr>
            </w:pPr>
            <w:r w:rsidRPr="00B3211C">
              <w:rPr>
                <w:b/>
                <w:color w:val="000000"/>
                <w:w w:val="90"/>
                <w:lang w:eastAsia="ru-RU"/>
              </w:rPr>
              <w:t>464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1D4" w:rsidRPr="00B3211C" w:rsidRDefault="000661D4" w:rsidP="002945C1">
            <w:pPr>
              <w:suppressAutoHyphens w:val="0"/>
              <w:jc w:val="both"/>
              <w:rPr>
                <w:b/>
                <w:color w:val="000000"/>
                <w:w w:val="90"/>
                <w:lang w:eastAsia="ru-RU"/>
              </w:rPr>
            </w:pPr>
            <w:r w:rsidRPr="00B3211C">
              <w:rPr>
                <w:b/>
                <w:color w:val="000000"/>
                <w:w w:val="90"/>
                <w:lang w:eastAsia="ru-RU"/>
              </w:rPr>
              <w:t>436</w:t>
            </w:r>
          </w:p>
        </w:tc>
      </w:tr>
    </w:tbl>
    <w:p w:rsidR="000661D4" w:rsidRPr="006C46A2" w:rsidRDefault="000661D4" w:rsidP="000661D4">
      <w:pPr>
        <w:suppressAutoHyphens w:val="0"/>
        <w:jc w:val="both"/>
        <w:rPr>
          <w:lang w:eastAsia="ru-RU"/>
        </w:rPr>
      </w:pPr>
      <w:r w:rsidRPr="006C46A2">
        <w:rPr>
          <w:lang w:eastAsia="ru-RU"/>
        </w:rPr>
        <w:t>Основанием для введения новых дисциплин, увеличения объема часов является потребность в получении дополнительных умений и знаний, необходимых для обеспечения конкурентоспособности выпускников в соответствии с запросами рынка труда и обусловлено современным состоянием и тенденцией развития отрасли, с учетом рекомендаций и требований работодателей.</w:t>
      </w:r>
    </w:p>
    <w:p w:rsidR="000661D4" w:rsidRPr="00B3211C" w:rsidRDefault="000661D4" w:rsidP="000661D4">
      <w:pPr>
        <w:suppressAutoHyphens w:val="0"/>
        <w:rPr>
          <w:sz w:val="28"/>
          <w:szCs w:val="28"/>
          <w:lang w:eastAsia="ru-RU"/>
        </w:rPr>
      </w:pPr>
    </w:p>
    <w:p w:rsidR="000661D4" w:rsidRPr="00FD003E" w:rsidRDefault="000661D4" w:rsidP="000661D4">
      <w:pPr>
        <w:jc w:val="both"/>
        <w:rPr>
          <w:b/>
          <w:bCs/>
        </w:rPr>
      </w:pPr>
      <w:r w:rsidRPr="00FD003E">
        <w:rPr>
          <w:b/>
          <w:bCs/>
        </w:rPr>
        <w:t>Формы проведения консультаций</w:t>
      </w:r>
    </w:p>
    <w:p w:rsidR="000661D4" w:rsidRPr="00FD003E" w:rsidRDefault="000661D4" w:rsidP="000661D4">
      <w:pPr>
        <w:jc w:val="both"/>
        <w:rPr>
          <w:bCs/>
        </w:rPr>
      </w:pPr>
      <w:r w:rsidRPr="00FD003E">
        <w:rPr>
          <w:bCs/>
        </w:rPr>
        <w:t xml:space="preserve">В период обучения со студентами проводятся консультации –групповые и индивидуальные. Проводятся консультации за счет </w:t>
      </w:r>
      <w:proofErr w:type="gramStart"/>
      <w:r w:rsidRPr="00FD003E">
        <w:rPr>
          <w:bCs/>
        </w:rPr>
        <w:t>часов</w:t>
      </w:r>
      <w:proofErr w:type="gramEnd"/>
      <w:r w:rsidRPr="00FD003E">
        <w:rPr>
          <w:bCs/>
        </w:rPr>
        <w:t xml:space="preserve"> определенных на дисциплину (модуль) как часы во взаимодействии с преподавателем.</w:t>
      </w:r>
    </w:p>
    <w:p w:rsidR="000661D4" w:rsidRPr="00FD003E" w:rsidRDefault="000661D4" w:rsidP="000661D4">
      <w:pPr>
        <w:jc w:val="both"/>
        <w:rPr>
          <w:bCs/>
        </w:rPr>
      </w:pPr>
      <w:r w:rsidRPr="00FD003E">
        <w:rPr>
          <w:b/>
          <w:bCs/>
        </w:rPr>
        <w:t>Формы проведения промежуточной аттестации</w:t>
      </w:r>
    </w:p>
    <w:p w:rsidR="000661D4" w:rsidRPr="00FD003E" w:rsidRDefault="000661D4" w:rsidP="000661D4">
      <w:pPr>
        <w:jc w:val="both"/>
        <w:rPr>
          <w:bCs/>
        </w:rPr>
      </w:pPr>
      <w:r w:rsidRPr="00FD003E">
        <w:rPr>
          <w:bCs/>
        </w:rPr>
        <w:t xml:space="preserve">На основании п. 3. ст. 28 ФЗ «Об образовании в Российской Федерации» осуществление текущего контроля успеваемости и промежуточной аттестации обучающихся, </w:t>
      </w:r>
      <w:r w:rsidRPr="00FD003E">
        <w:rPr>
          <w:bCs/>
        </w:rPr>
        <w:lastRenderedPageBreak/>
        <w:t>установление их форм, периодичности и порядка проведения относятся к компетенции образовательной организации. Положением о формах, периодичности и порядке текущего контроля успеваемости и промежуточной аттестации обучающихся ГАПОУ СО «Камышловский техникум промышленности и транспорта» установлены такие формы промежуточной аттестации как  экзамен, зачет (дифференцированный зачет),экзамен (квалификационный).В структуре промежуточной аттестации по семестрам 2-8 предусмотрено не менее одного экзамена, при этом количество экзаменов в процессе промежуточной аттестации обучающихся не  превышает 8 экзаменов в учебном году. При планировании промежуточной аттестации в форме экзамена, техникумом определен день, освобожденный от других форм учебной нагрузки.</w:t>
      </w:r>
    </w:p>
    <w:p w:rsidR="000661D4" w:rsidRPr="00FD003E" w:rsidRDefault="000661D4" w:rsidP="000661D4">
      <w:pPr>
        <w:jc w:val="both"/>
        <w:rPr>
          <w:bCs/>
        </w:rPr>
      </w:pPr>
      <w:r w:rsidRPr="00FD003E">
        <w:rPr>
          <w:bCs/>
        </w:rPr>
        <w:t>Промежуточная аттестация, проводимая в техникуме в виде экзамена, выделяется за счет времени, определенного как во взаимодействии с преподавателем.</w:t>
      </w:r>
    </w:p>
    <w:p w:rsidR="000661D4" w:rsidRPr="00FD003E" w:rsidRDefault="000661D4" w:rsidP="000661D4">
      <w:pPr>
        <w:jc w:val="both"/>
        <w:rPr>
          <w:bCs/>
        </w:rPr>
      </w:pPr>
      <w:r w:rsidRPr="00FD003E">
        <w:rPr>
          <w:bCs/>
        </w:rPr>
        <w:t xml:space="preserve"> Промежуточная аттестация в форме зачета проводится за счет часов, отведенных на освоение соответствующей учебной дисциплины, междисциплинарного курса, </w:t>
      </w:r>
      <w:proofErr w:type="gramStart"/>
      <w:r w:rsidRPr="00FD003E">
        <w:rPr>
          <w:bCs/>
        </w:rPr>
        <w:t>практики .</w:t>
      </w:r>
      <w:proofErr w:type="gramEnd"/>
      <w:r w:rsidRPr="00FD003E">
        <w:rPr>
          <w:bCs/>
        </w:rPr>
        <w:t xml:space="preserve"> Количество зачетов - не более 10. В указанное количество не входят экзамены и зачеты по </w:t>
      </w:r>
      <w:r>
        <w:rPr>
          <w:bCs/>
        </w:rPr>
        <w:t xml:space="preserve">физической культуре. </w:t>
      </w:r>
      <w:proofErr w:type="spellStart"/>
      <w:proofErr w:type="gramStart"/>
      <w:r>
        <w:rPr>
          <w:bCs/>
        </w:rPr>
        <w:t>Определено</w:t>
      </w:r>
      <w:r w:rsidRPr="00FD003E">
        <w:rPr>
          <w:bCs/>
        </w:rPr>
        <w:t>,что</w:t>
      </w:r>
      <w:proofErr w:type="spellEnd"/>
      <w:proofErr w:type="gramEnd"/>
      <w:r w:rsidRPr="00FD003E">
        <w:rPr>
          <w:bCs/>
        </w:rPr>
        <w:t xml:space="preserve"> за каждый реализуемый семестр процедура промежуточной аттестации не предусматривается для всех без исключения дисциплин и междисциплинарных курсов, практик, профессиональных модулей, установленных в учебном плане образовательной программы.</w:t>
      </w:r>
    </w:p>
    <w:p w:rsidR="000661D4" w:rsidRDefault="000661D4" w:rsidP="000661D4">
      <w:pPr>
        <w:pStyle w:val="1"/>
        <w:jc w:val="both"/>
        <w:rPr>
          <w:sz w:val="28"/>
          <w:szCs w:val="28"/>
        </w:rPr>
      </w:pPr>
    </w:p>
    <w:p w:rsidR="000661D4" w:rsidRDefault="000661D4" w:rsidP="000661D4">
      <w:pPr>
        <w:pStyle w:val="1"/>
        <w:jc w:val="both"/>
        <w:rPr>
          <w:noProof/>
          <w:lang w:eastAsia="ru-RU"/>
        </w:rPr>
      </w:pPr>
    </w:p>
    <w:p w:rsidR="00BA33ED" w:rsidRPr="000661D4" w:rsidRDefault="00BA33ED">
      <w:pPr>
        <w:rPr>
          <w:sz w:val="28"/>
          <w:szCs w:val="28"/>
        </w:rPr>
      </w:pPr>
    </w:p>
    <w:sectPr w:rsidR="00BA33ED" w:rsidRPr="00066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D44"/>
    <w:rsid w:val="00057D44"/>
    <w:rsid w:val="000661D4"/>
    <w:rsid w:val="009C56F6"/>
    <w:rsid w:val="00BA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D5C399-5310-4A07-9938-8E3BDDF66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1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661D4"/>
    <w:pPr>
      <w:widowControl w:val="0"/>
      <w:autoSpaceDE w:val="0"/>
      <w:spacing w:before="240" w:after="60"/>
      <w:jc w:val="center"/>
      <w:outlineLvl w:val="0"/>
    </w:pPr>
    <w:rPr>
      <w:b/>
      <w:small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61D4"/>
    <w:rPr>
      <w:rFonts w:ascii="Times New Roman" w:eastAsia="Times New Roman" w:hAnsi="Times New Roman" w:cs="Times New Roman"/>
      <w:b/>
      <w:smallCap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1498</Words>
  <Characters>8541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Мицура</dc:creator>
  <cp:keywords/>
  <dc:description/>
  <cp:lastModifiedBy>Ольга A. Потапова</cp:lastModifiedBy>
  <cp:revision>2</cp:revision>
  <dcterms:created xsi:type="dcterms:W3CDTF">2021-10-22T05:41:00Z</dcterms:created>
  <dcterms:modified xsi:type="dcterms:W3CDTF">2021-10-22T05:41:00Z</dcterms:modified>
</cp:coreProperties>
</file>